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5AAFE9" w14:textId="77777777" w:rsidR="008B0983" w:rsidRPr="003E0557" w:rsidRDefault="008B0983" w:rsidP="008B0983">
      <w:pPr>
        <w:spacing w:line="240" w:lineRule="auto"/>
        <w:jc w:val="center"/>
        <w:rPr>
          <w:rFonts w:ascii="Arial" w:hAnsi="Arial" w:cs="Arial"/>
          <w:b/>
          <w:bCs/>
          <w:sz w:val="24"/>
          <w:szCs w:val="24"/>
        </w:rPr>
      </w:pPr>
      <w:bookmarkStart w:id="0" w:name="OLE_LINK1"/>
      <w:r w:rsidRPr="003E0557">
        <w:rPr>
          <w:rFonts w:ascii="Arial" w:hAnsi="Arial" w:cs="Arial"/>
          <w:b/>
          <w:bCs/>
          <w:sz w:val="24"/>
          <w:szCs w:val="24"/>
        </w:rPr>
        <w:t>Reunião Ordinária do Comitê de Investimentos.</w:t>
      </w:r>
    </w:p>
    <w:p w14:paraId="251B31B9" w14:textId="499C2715" w:rsidR="008B0983" w:rsidRPr="003E0557" w:rsidRDefault="008B0983" w:rsidP="00C31F2F">
      <w:pPr>
        <w:spacing w:after="160" w:line="259" w:lineRule="auto"/>
        <w:jc w:val="both"/>
        <w:rPr>
          <w:rFonts w:ascii="Arial" w:hAnsi="Arial" w:cs="Arial"/>
          <w:sz w:val="24"/>
          <w:szCs w:val="24"/>
        </w:rPr>
      </w:pPr>
      <w:r w:rsidRPr="003E0557">
        <w:rPr>
          <w:rFonts w:ascii="Arial" w:hAnsi="Arial" w:cs="Arial"/>
          <w:sz w:val="24"/>
          <w:szCs w:val="24"/>
        </w:rPr>
        <w:t xml:space="preserve">Aos vinte e </w:t>
      </w:r>
      <w:r w:rsidR="00425D76">
        <w:rPr>
          <w:rFonts w:ascii="Arial" w:hAnsi="Arial" w:cs="Arial"/>
          <w:sz w:val="24"/>
          <w:szCs w:val="24"/>
        </w:rPr>
        <w:t>dois</w:t>
      </w:r>
      <w:r w:rsidRPr="003E0557">
        <w:rPr>
          <w:rFonts w:ascii="Arial" w:hAnsi="Arial" w:cs="Arial"/>
          <w:sz w:val="24"/>
          <w:szCs w:val="24"/>
        </w:rPr>
        <w:t xml:space="preserve"> dias do mês de </w:t>
      </w:r>
      <w:r w:rsidR="00425D76">
        <w:rPr>
          <w:rFonts w:ascii="Arial" w:hAnsi="Arial" w:cs="Arial"/>
          <w:sz w:val="24"/>
          <w:szCs w:val="24"/>
        </w:rPr>
        <w:t>dez</w:t>
      </w:r>
      <w:r w:rsidRPr="003E0557">
        <w:rPr>
          <w:rFonts w:ascii="Arial" w:hAnsi="Arial" w:cs="Arial"/>
          <w:sz w:val="24"/>
          <w:szCs w:val="24"/>
        </w:rPr>
        <w:t xml:space="preserve">embro de dois mil e vinte e cinco, às </w:t>
      </w:r>
      <w:r w:rsidR="00425D76">
        <w:rPr>
          <w:rFonts w:ascii="Arial" w:hAnsi="Arial" w:cs="Arial"/>
          <w:sz w:val="24"/>
          <w:szCs w:val="24"/>
        </w:rPr>
        <w:t>treze</w:t>
      </w:r>
      <w:r w:rsidRPr="003E0557">
        <w:rPr>
          <w:rFonts w:ascii="Arial" w:hAnsi="Arial" w:cs="Arial"/>
          <w:sz w:val="24"/>
          <w:szCs w:val="24"/>
        </w:rPr>
        <w:t xml:space="preserve"> horas, reuniu-se, na sede do Instituto de Previdência dos Servidores Públicos do Município de Guanhães – GuanhãesPrev, situada na Rua Monsenhor Pinheiro, nº 101, Centro, Guanhães/MG, o Comitê de Investimentos, com a presença de </w:t>
      </w:r>
      <w:r w:rsidR="00425D76">
        <w:rPr>
          <w:rFonts w:ascii="Arial" w:hAnsi="Arial" w:cs="Arial"/>
          <w:sz w:val="24"/>
          <w:szCs w:val="24"/>
        </w:rPr>
        <w:t xml:space="preserve">Cláudia Aparecida Monteiro dos Santos, </w:t>
      </w:r>
      <w:r w:rsidRPr="003E0557">
        <w:rPr>
          <w:rFonts w:ascii="Arial" w:hAnsi="Arial" w:cs="Arial"/>
          <w:sz w:val="24"/>
          <w:szCs w:val="24"/>
        </w:rPr>
        <w:t>Daniel Fernando da Silva,</w:t>
      </w:r>
      <w:r w:rsidR="00425D76">
        <w:rPr>
          <w:rFonts w:ascii="Arial" w:hAnsi="Arial" w:cs="Arial"/>
          <w:sz w:val="24"/>
          <w:szCs w:val="24"/>
        </w:rPr>
        <w:t xml:space="preserve"> </w:t>
      </w:r>
      <w:r w:rsidRPr="003E0557">
        <w:rPr>
          <w:rFonts w:ascii="Arial" w:hAnsi="Arial" w:cs="Arial"/>
          <w:sz w:val="24"/>
          <w:szCs w:val="24"/>
        </w:rPr>
        <w:t xml:space="preserve">Humberto Salvador Ferreira Lopes e Rosimery Aparecida Inácio de Pinho Procópio, além da participação remota de </w:t>
      </w:r>
      <w:r w:rsidR="00425D76">
        <w:rPr>
          <w:rFonts w:ascii="Arial" w:hAnsi="Arial" w:cs="Arial"/>
          <w:sz w:val="24"/>
          <w:szCs w:val="24"/>
        </w:rPr>
        <w:t>Rodolpho Malafaia</w:t>
      </w:r>
      <w:r w:rsidRPr="003E0557">
        <w:rPr>
          <w:rFonts w:ascii="Arial" w:hAnsi="Arial" w:cs="Arial"/>
          <w:sz w:val="24"/>
          <w:szCs w:val="24"/>
        </w:rPr>
        <w:t xml:space="preserve">, representante da Lema Assessoria de </w:t>
      </w:r>
      <w:r w:rsidRPr="00425D76">
        <w:rPr>
          <w:rFonts w:ascii="Arial" w:hAnsi="Arial" w:cs="Arial"/>
          <w:sz w:val="24"/>
          <w:szCs w:val="24"/>
        </w:rPr>
        <w:t xml:space="preserve">Investimentos. </w:t>
      </w:r>
      <w:r w:rsidR="00425D76" w:rsidRPr="00425D76">
        <w:rPr>
          <w:rFonts w:ascii="Arial" w:hAnsi="Arial" w:cs="Arial"/>
          <w:sz w:val="24"/>
          <w:szCs w:val="24"/>
        </w:rPr>
        <w:t xml:space="preserve">Como a </w:t>
      </w:r>
      <w:r w:rsidRPr="00425D76">
        <w:rPr>
          <w:rFonts w:ascii="Arial" w:hAnsi="Arial" w:cs="Arial"/>
          <w:sz w:val="24"/>
          <w:szCs w:val="24"/>
        </w:rPr>
        <w:t xml:space="preserve">presidente Francielle </w:t>
      </w:r>
      <w:r w:rsidR="00425D76" w:rsidRPr="00425D76">
        <w:rPr>
          <w:rFonts w:ascii="Arial" w:hAnsi="Arial" w:cs="Arial"/>
          <w:sz w:val="24"/>
          <w:szCs w:val="24"/>
        </w:rPr>
        <w:t xml:space="preserve">estava ausente por licença médica, Rosimery </w:t>
      </w:r>
      <w:r w:rsidRPr="00425D76">
        <w:rPr>
          <w:rFonts w:ascii="Arial" w:hAnsi="Arial" w:cs="Arial"/>
          <w:sz w:val="24"/>
          <w:szCs w:val="24"/>
        </w:rPr>
        <w:t xml:space="preserve">abriu a reunião, dando boas-vindas aos presentes e informando que a pauta trataria </w:t>
      </w:r>
      <w:r w:rsidR="00425D76" w:rsidRPr="00425D76">
        <w:rPr>
          <w:rFonts w:ascii="Arial" w:hAnsi="Arial" w:cs="Arial"/>
          <w:sz w:val="24"/>
          <w:szCs w:val="24"/>
        </w:rPr>
        <w:t>da</w:t>
      </w:r>
      <w:r w:rsidR="00425D76" w:rsidRPr="00227665">
        <w:rPr>
          <w:rFonts w:ascii="Arial" w:hAnsi="Arial" w:cs="Arial"/>
          <w:sz w:val="24"/>
          <w:szCs w:val="24"/>
        </w:rPr>
        <w:t xml:space="preserve"> análise do cenário econômico, do posicionamento da carteira e das perspectivas para o exercício de 2026</w:t>
      </w:r>
      <w:r w:rsidR="00425D76" w:rsidRPr="00425D76">
        <w:rPr>
          <w:rFonts w:ascii="Arial" w:hAnsi="Arial" w:cs="Arial"/>
          <w:sz w:val="24"/>
          <w:szCs w:val="24"/>
        </w:rPr>
        <w:t xml:space="preserve"> e também </w:t>
      </w:r>
      <w:r w:rsidRPr="00425D76">
        <w:rPr>
          <w:rFonts w:ascii="Arial" w:hAnsi="Arial" w:cs="Arial"/>
          <w:sz w:val="24"/>
          <w:szCs w:val="24"/>
        </w:rPr>
        <w:t xml:space="preserve">do fechamento do mês de </w:t>
      </w:r>
      <w:r w:rsidR="00425D76" w:rsidRPr="00425D76">
        <w:rPr>
          <w:rFonts w:ascii="Arial" w:hAnsi="Arial" w:cs="Arial"/>
          <w:sz w:val="24"/>
          <w:szCs w:val="24"/>
        </w:rPr>
        <w:t>novem</w:t>
      </w:r>
      <w:r w:rsidRPr="00425D76">
        <w:rPr>
          <w:rFonts w:ascii="Arial" w:hAnsi="Arial" w:cs="Arial"/>
          <w:sz w:val="24"/>
          <w:szCs w:val="24"/>
        </w:rPr>
        <w:t>bro de 2025 e passou a palavra para o Rod</w:t>
      </w:r>
      <w:r w:rsidR="00425D76" w:rsidRPr="00425D76">
        <w:rPr>
          <w:rFonts w:ascii="Arial" w:hAnsi="Arial" w:cs="Arial"/>
          <w:sz w:val="24"/>
          <w:szCs w:val="24"/>
        </w:rPr>
        <w:t>olpho</w:t>
      </w:r>
      <w:r w:rsidRPr="00425D76">
        <w:rPr>
          <w:rFonts w:ascii="Arial" w:hAnsi="Arial" w:cs="Arial"/>
          <w:sz w:val="24"/>
          <w:szCs w:val="24"/>
        </w:rPr>
        <w:t xml:space="preserve"> que iniciou </w:t>
      </w:r>
      <w:r w:rsidR="00425D76" w:rsidRPr="00227665">
        <w:rPr>
          <w:rFonts w:ascii="Arial" w:hAnsi="Arial" w:cs="Arial"/>
          <w:sz w:val="24"/>
          <w:szCs w:val="24"/>
        </w:rPr>
        <w:t xml:space="preserve">discutidos os efeitos característicos do mês de dezembro, tradicionalmente marcado por maior consumo em razão da injeção de recursos decorrente do pagamento do décimo terceiro salário, bem como a expectativa quanto ao resultado do IPCA do período e seus reflexos no planejamento futuro, destacando-se que o cenário atual já sinaliza desafios relevantes para 2026, especialmente para a renda variável, diante do ambiente político, da sensibilidade do mercado a eventos e comunicações públicas e da volatilidade observada em casos recentes envolvendo empresas listadas; analisou-se o contexto da política monetária, com a manutenção da taxa Selic em 15% ao ano, o reconhecimento pelo Copom da desaceleração inflacionária e a adoção de postura cautelosa e restritiva, indicando que o primeiro trimestre de 2026 deverá permanecer com juros elevados, considerando que a inflação, embora em processo de desinflação, ainda se encontra acima do centro da meta, com IPCA acumulado em doze meses dentro do limite superior, porém distante do percentual de 3%; no cenário internacional, observou-se a perda de fôlego da economia norte-americana e a expectativa futura de afrouxamento monetário, o que tende a favorecer países emergentes, inclusive o Brasil, por meio de maior fluxo de capital estrangeiro, refletido no desempenho positivo do Ibovespa em novembro, impulsionado tanto pela entrada de recursos externos quanto pela antecipação, pelo mercado, de possíveis reduções de juros em 2026, ainda que eventos políticos recentes tenham provocado reações negativas pontuais e valorização do dólar, reforçando a necessidade de postura conservadora; quanto à carteira do Instituto, registrou-se que a alocação permanece majoritariamente concentrada em renda fixa, com participação residual em outros segmentos, estratégia considerada adequada ao cenário econômico e às novas exigências normativas, sendo reafirmada a orientação de manutenção de posicionamento conservador, com preferência por fundos referenciados ao DI e maior cautela em relação a títulos prefixados, especialmente no contexto da transição entre a política de investimentos vigente e a nova regulamentação, observando-se as orientações do Ministério da Previdência quanto à aplicação de recursos até 1º de fevereiro, sem descumprimento dos requisitos da nova norma; ressaltou-se que a carteira </w:t>
      </w:r>
      <w:r w:rsidR="00425D76" w:rsidRPr="00227665">
        <w:rPr>
          <w:rFonts w:ascii="Arial" w:hAnsi="Arial" w:cs="Arial"/>
          <w:sz w:val="24"/>
          <w:szCs w:val="24"/>
        </w:rPr>
        <w:lastRenderedPageBreak/>
        <w:t>atingiu a meta atuarial no exercício, proporcionando segurança para o encerramento do ano e permitindo o início de 2026 com condições de enfrentar novos desafios relacionados ao ambiente econômico, à legislação e à adequação da política de investimentos, mantendo-se o monitoramento contínuo pelo Comitê; discutiu-se a situação do envio do Demonstrativo de Investimentos, deliberando-se pela formalização de solicitação por e-mail para tentativa de envio, condicionada à disponibilidade do sistema, com ciência da possibilidade de bloqueio e de eventual necessidade de retificação futura; foram tratadas orientações gerais quanto a eventuais resgates, priorizando fundos com maior liquidez e menor aderência à estratégia, bem como avaliados os impactos da nova regulamentação sobre distribuidores e sobre o mercado de investimentos, reconhecendo-se que, apesar dos desafios, as novas exigências ampliam a segurança, a governança e a diligência na gestão dos recursos previdenciários, ficando acordado que o Comitê continuará atento aos desdobramentos, comunicará tempestivamente quaisquer atualizações relevantes aos seus membros</w:t>
      </w:r>
      <w:r w:rsidR="00425D76">
        <w:rPr>
          <w:rFonts w:ascii="Arial" w:hAnsi="Arial" w:cs="Arial"/>
          <w:sz w:val="24"/>
          <w:szCs w:val="24"/>
        </w:rPr>
        <w:t xml:space="preserve">. </w:t>
      </w:r>
      <w:r w:rsidRPr="003E0557">
        <w:rPr>
          <w:rFonts w:ascii="Arial" w:hAnsi="Arial" w:cs="Arial"/>
          <w:sz w:val="24"/>
          <w:szCs w:val="24"/>
        </w:rPr>
        <w:t xml:space="preserve">Passo seguinte, </w:t>
      </w:r>
      <w:r w:rsidR="00425D76">
        <w:rPr>
          <w:rFonts w:ascii="Arial" w:hAnsi="Arial" w:cs="Arial"/>
          <w:sz w:val="24"/>
          <w:szCs w:val="24"/>
        </w:rPr>
        <w:t xml:space="preserve">Rosimery </w:t>
      </w:r>
      <w:r w:rsidRPr="003E0557">
        <w:rPr>
          <w:rFonts w:ascii="Arial" w:hAnsi="Arial" w:cs="Arial"/>
          <w:sz w:val="24"/>
          <w:szCs w:val="24"/>
        </w:rPr>
        <w:t xml:space="preserve">apresentou o relatório de investimentos, </w:t>
      </w:r>
      <w:r w:rsidR="00425D76">
        <w:rPr>
          <w:rFonts w:ascii="Arial" w:hAnsi="Arial" w:cs="Arial"/>
          <w:sz w:val="24"/>
          <w:szCs w:val="24"/>
        </w:rPr>
        <w:t xml:space="preserve">que foi </w:t>
      </w:r>
      <w:r w:rsidRPr="003E0557">
        <w:rPr>
          <w:rFonts w:ascii="Arial" w:hAnsi="Arial" w:cs="Arial"/>
          <w:sz w:val="24"/>
          <w:szCs w:val="24"/>
        </w:rPr>
        <w:t>analisado e aprovado pelo comitê, informando que a carteira do GuanhãesPrev está segregada entre os segmentos de renda fixa e Fundo imobiliário, sendo 99,4</w:t>
      </w:r>
      <w:r w:rsidR="00C44F39">
        <w:rPr>
          <w:rFonts w:ascii="Arial" w:hAnsi="Arial" w:cs="Arial"/>
          <w:sz w:val="24"/>
          <w:szCs w:val="24"/>
        </w:rPr>
        <w:t>9</w:t>
      </w:r>
      <w:r w:rsidRPr="003E0557">
        <w:rPr>
          <w:rFonts w:ascii="Arial" w:hAnsi="Arial" w:cs="Arial"/>
          <w:sz w:val="24"/>
          <w:szCs w:val="24"/>
        </w:rPr>
        <w:t>%, e 0,5</w:t>
      </w:r>
      <w:r w:rsidR="00C44F39">
        <w:rPr>
          <w:rFonts w:ascii="Arial" w:hAnsi="Arial" w:cs="Arial"/>
          <w:sz w:val="24"/>
          <w:szCs w:val="24"/>
        </w:rPr>
        <w:t>1</w:t>
      </w:r>
      <w:r w:rsidRPr="003E0557">
        <w:rPr>
          <w:rFonts w:ascii="Arial" w:hAnsi="Arial" w:cs="Arial"/>
          <w:sz w:val="24"/>
          <w:szCs w:val="24"/>
        </w:rPr>
        <w:t>% respectivamente, dentro dos limites estabelecidos pela Resolução CMN nº 4.963/2021, que permite até 35% em renda variável para RPPS com Certificação Institucional Pró-Gestão Nível III, certificação esta conquistada pelo Instituto em 21 de julho de 2025. Foi constatado que não há desenquadramentos nos segmentos de renda fixa e fundo imobiliário e que 80,7</w:t>
      </w:r>
      <w:r w:rsidR="00C44F39">
        <w:rPr>
          <w:rFonts w:ascii="Arial" w:hAnsi="Arial" w:cs="Arial"/>
          <w:sz w:val="24"/>
          <w:szCs w:val="24"/>
        </w:rPr>
        <w:t>6</w:t>
      </w:r>
      <w:r w:rsidRPr="003E0557">
        <w:rPr>
          <w:rFonts w:ascii="Arial" w:hAnsi="Arial" w:cs="Arial"/>
          <w:sz w:val="24"/>
          <w:szCs w:val="24"/>
        </w:rPr>
        <w:t>% dos recursos possuem liquidez inferior a trinta dias, distribuídos em treze (1</w:t>
      </w:r>
      <w:r w:rsidR="00C44F39">
        <w:rPr>
          <w:rFonts w:ascii="Arial" w:hAnsi="Arial" w:cs="Arial"/>
          <w:sz w:val="24"/>
          <w:szCs w:val="24"/>
        </w:rPr>
        <w:t>4</w:t>
      </w:r>
      <w:r w:rsidRPr="003E0557">
        <w:rPr>
          <w:rFonts w:ascii="Arial" w:hAnsi="Arial" w:cs="Arial"/>
          <w:sz w:val="24"/>
          <w:szCs w:val="24"/>
        </w:rPr>
        <w:t xml:space="preserve">) fundos de investimento. No mês de </w:t>
      </w:r>
      <w:r w:rsidR="00C44F39">
        <w:rPr>
          <w:rFonts w:ascii="Arial" w:hAnsi="Arial" w:cs="Arial"/>
          <w:sz w:val="24"/>
          <w:szCs w:val="24"/>
        </w:rPr>
        <w:t>novem</w:t>
      </w:r>
      <w:r w:rsidRPr="003E0557">
        <w:rPr>
          <w:rFonts w:ascii="Arial" w:hAnsi="Arial" w:cs="Arial"/>
          <w:sz w:val="24"/>
          <w:szCs w:val="24"/>
        </w:rPr>
        <w:t xml:space="preserve">bro de 2025, verificou-se uma redução patrimonial em função dos resgates realizados para pagamento da folha de aposentados e pensionistas, resultando em rentabilidade de </w:t>
      </w:r>
      <w:r w:rsidR="00C44F39">
        <w:rPr>
          <w:rFonts w:ascii="Arial" w:hAnsi="Arial" w:cs="Arial"/>
          <w:sz w:val="24"/>
          <w:szCs w:val="24"/>
        </w:rPr>
        <w:t>0,87</w:t>
      </w:r>
      <w:r w:rsidRPr="003E0557">
        <w:rPr>
          <w:rFonts w:ascii="Arial" w:hAnsi="Arial" w:cs="Arial"/>
          <w:sz w:val="24"/>
          <w:szCs w:val="24"/>
        </w:rPr>
        <w:t>%. O IPCA registrou 0,</w:t>
      </w:r>
      <w:r w:rsidR="00C31F2F">
        <w:rPr>
          <w:rFonts w:ascii="Arial" w:hAnsi="Arial" w:cs="Arial"/>
          <w:sz w:val="24"/>
          <w:szCs w:val="24"/>
        </w:rPr>
        <w:t>18</w:t>
      </w:r>
      <w:r w:rsidRPr="003E0557">
        <w:rPr>
          <w:rFonts w:ascii="Arial" w:hAnsi="Arial" w:cs="Arial"/>
          <w:sz w:val="24"/>
          <w:szCs w:val="24"/>
        </w:rPr>
        <w:t>% no mesmo período, e a meta atuarial foi de 0,</w:t>
      </w:r>
      <w:r w:rsidR="00C44F39">
        <w:rPr>
          <w:rFonts w:ascii="Arial" w:hAnsi="Arial" w:cs="Arial"/>
          <w:sz w:val="24"/>
          <w:szCs w:val="24"/>
        </w:rPr>
        <w:t>61</w:t>
      </w:r>
      <w:r w:rsidRPr="003E0557">
        <w:rPr>
          <w:rFonts w:ascii="Arial" w:hAnsi="Arial" w:cs="Arial"/>
          <w:sz w:val="24"/>
          <w:szCs w:val="24"/>
        </w:rPr>
        <w:t xml:space="preserve">%, mantendo-se em conformidade com o cenário econômico e a estratégia adotada. O Comitê analisou e atestou a conformidade do relatório de investimentos quanto à rentabilidade, riscos e aderência à Política de Investimentos vigente. </w:t>
      </w:r>
      <w:r w:rsidR="00C31F2F">
        <w:rPr>
          <w:rFonts w:ascii="Arial" w:hAnsi="Arial" w:cs="Arial"/>
          <w:sz w:val="24"/>
          <w:szCs w:val="24"/>
        </w:rPr>
        <w:t>Após</w:t>
      </w:r>
      <w:r w:rsidR="00425D76" w:rsidRPr="00227665">
        <w:rPr>
          <w:rFonts w:ascii="Arial" w:hAnsi="Arial" w:cs="Arial"/>
          <w:sz w:val="24"/>
          <w:szCs w:val="24"/>
        </w:rPr>
        <w:t xml:space="preserve"> </w:t>
      </w:r>
      <w:r w:rsidR="00C31F2F" w:rsidRPr="00227665">
        <w:rPr>
          <w:rFonts w:ascii="Arial" w:hAnsi="Arial" w:cs="Arial"/>
          <w:sz w:val="24"/>
          <w:szCs w:val="24"/>
        </w:rPr>
        <w:t>as manifestações finais dos participantes</w:t>
      </w:r>
      <w:r w:rsidR="00C31F2F">
        <w:rPr>
          <w:rFonts w:ascii="Arial" w:hAnsi="Arial" w:cs="Arial"/>
          <w:sz w:val="24"/>
          <w:szCs w:val="24"/>
        </w:rPr>
        <w:t xml:space="preserve"> e n</w:t>
      </w:r>
      <w:r w:rsidRPr="003E0557">
        <w:rPr>
          <w:rFonts w:ascii="Arial" w:hAnsi="Arial" w:cs="Arial"/>
          <w:sz w:val="24"/>
          <w:szCs w:val="24"/>
        </w:rPr>
        <w:t xml:space="preserve">ada mais havendo a tratar, </w:t>
      </w:r>
      <w:r w:rsidR="00C31F2F">
        <w:rPr>
          <w:rFonts w:ascii="Arial" w:hAnsi="Arial" w:cs="Arial"/>
          <w:sz w:val="24"/>
          <w:szCs w:val="24"/>
        </w:rPr>
        <w:t>e</w:t>
      </w:r>
      <w:r w:rsidRPr="003E0557">
        <w:rPr>
          <w:rFonts w:ascii="Arial" w:hAnsi="Arial" w:cs="Arial"/>
          <w:sz w:val="24"/>
          <w:szCs w:val="24"/>
        </w:rPr>
        <w:t xml:space="preserve">u, Rosimery Aparecida Inácio de Pinho Procópio, _________________, </w:t>
      </w:r>
      <w:r>
        <w:rPr>
          <w:rFonts w:ascii="Arial" w:hAnsi="Arial" w:cs="Arial"/>
          <w:sz w:val="24"/>
          <w:szCs w:val="24"/>
        </w:rPr>
        <w:t>S</w:t>
      </w:r>
      <w:r w:rsidRPr="003E0557">
        <w:rPr>
          <w:rFonts w:ascii="Arial" w:hAnsi="Arial" w:cs="Arial"/>
          <w:sz w:val="24"/>
          <w:szCs w:val="24"/>
        </w:rPr>
        <w:t xml:space="preserve">ecretária do Comitê de Investimentos, </w:t>
      </w:r>
      <w:r w:rsidR="00C31F2F">
        <w:rPr>
          <w:rFonts w:ascii="Arial" w:hAnsi="Arial" w:cs="Arial"/>
          <w:sz w:val="24"/>
          <w:szCs w:val="24"/>
        </w:rPr>
        <w:t xml:space="preserve">encerrei a reunião </w:t>
      </w:r>
      <w:r w:rsidR="00C31F2F" w:rsidRPr="003E0557">
        <w:rPr>
          <w:rFonts w:ascii="Arial" w:hAnsi="Arial" w:cs="Arial"/>
          <w:sz w:val="24"/>
          <w:szCs w:val="24"/>
        </w:rPr>
        <w:t>agradecendo a participação de todos</w:t>
      </w:r>
      <w:r w:rsidR="00C31F2F">
        <w:rPr>
          <w:rFonts w:ascii="Arial" w:hAnsi="Arial" w:cs="Arial"/>
          <w:sz w:val="24"/>
          <w:szCs w:val="24"/>
        </w:rPr>
        <w:t xml:space="preserve"> e</w:t>
      </w:r>
      <w:r w:rsidR="00C31F2F" w:rsidRPr="003E0557">
        <w:rPr>
          <w:rFonts w:ascii="Arial" w:hAnsi="Arial" w:cs="Arial"/>
          <w:sz w:val="24"/>
          <w:szCs w:val="24"/>
        </w:rPr>
        <w:t xml:space="preserve"> </w:t>
      </w:r>
      <w:r w:rsidRPr="003E0557">
        <w:rPr>
          <w:rFonts w:ascii="Arial" w:hAnsi="Arial" w:cs="Arial"/>
          <w:sz w:val="24"/>
          <w:szCs w:val="24"/>
        </w:rPr>
        <w:t xml:space="preserve">lavrei a presente ata, que, lida e aprovada, será assinada por mim e pelos demais membros presentes. Guanhães, </w:t>
      </w:r>
      <w:r w:rsidR="00C31F2F">
        <w:rPr>
          <w:rFonts w:ascii="Arial" w:hAnsi="Arial" w:cs="Arial"/>
          <w:sz w:val="24"/>
          <w:szCs w:val="24"/>
        </w:rPr>
        <w:t xml:space="preserve">22 </w:t>
      </w:r>
      <w:r w:rsidRPr="003E0557">
        <w:rPr>
          <w:rFonts w:ascii="Arial" w:hAnsi="Arial" w:cs="Arial"/>
          <w:sz w:val="24"/>
          <w:szCs w:val="24"/>
        </w:rPr>
        <w:t xml:space="preserve">de </w:t>
      </w:r>
      <w:r w:rsidR="00C31F2F">
        <w:rPr>
          <w:rFonts w:ascii="Arial" w:hAnsi="Arial" w:cs="Arial"/>
          <w:sz w:val="24"/>
          <w:szCs w:val="24"/>
        </w:rPr>
        <w:t>dez</w:t>
      </w:r>
      <w:r w:rsidRPr="003E0557">
        <w:rPr>
          <w:rFonts w:ascii="Arial" w:hAnsi="Arial" w:cs="Arial"/>
          <w:sz w:val="24"/>
          <w:szCs w:val="24"/>
        </w:rPr>
        <w:t>embro de 2025.</w:t>
      </w:r>
    </w:p>
    <w:p w14:paraId="1F4F42E7" w14:textId="77777777" w:rsidR="008B0983" w:rsidRDefault="008B0983" w:rsidP="008B0983"/>
    <w:p w14:paraId="52BD6BA7" w14:textId="77777777" w:rsidR="00D33890" w:rsidRPr="003E0557" w:rsidRDefault="00D33890" w:rsidP="003E0557">
      <w:pPr>
        <w:pStyle w:val="SemEspaamento"/>
        <w:rPr>
          <w:rFonts w:ascii="Arial" w:hAnsi="Arial" w:cs="Arial"/>
          <w:sz w:val="24"/>
          <w:szCs w:val="24"/>
          <w:lang w:val="pt-BR"/>
        </w:rPr>
      </w:pPr>
    </w:p>
    <w:p w14:paraId="19EF3B78" w14:textId="77777777" w:rsidR="00C31F2F" w:rsidRDefault="00545113" w:rsidP="00C31F2F">
      <w:pPr>
        <w:pStyle w:val="SemEspaamento"/>
        <w:rPr>
          <w:rFonts w:ascii="Arial" w:hAnsi="Arial" w:cs="Arial"/>
          <w:sz w:val="24"/>
          <w:szCs w:val="24"/>
          <w:lang w:val="pt-BR"/>
        </w:rPr>
      </w:pPr>
      <w:r w:rsidRPr="003E0557">
        <w:rPr>
          <w:rFonts w:ascii="Arial" w:hAnsi="Arial" w:cs="Arial"/>
          <w:sz w:val="24"/>
          <w:szCs w:val="24"/>
          <w:lang w:val="pt-BR"/>
        </w:rPr>
        <w:t xml:space="preserve">   Rosimery Ap. Inácio de Pinho Procópio  </w:t>
      </w:r>
      <w:r w:rsidR="00C31F2F">
        <w:rPr>
          <w:rFonts w:ascii="Arial" w:hAnsi="Arial" w:cs="Arial"/>
          <w:sz w:val="24"/>
          <w:szCs w:val="24"/>
          <w:lang w:val="pt-BR"/>
        </w:rPr>
        <w:t xml:space="preserve">        </w:t>
      </w:r>
      <w:r w:rsidR="00C31F2F" w:rsidRPr="00D33890">
        <w:rPr>
          <w:rFonts w:ascii="Arial" w:hAnsi="Arial" w:cs="Arial"/>
          <w:sz w:val="24"/>
          <w:szCs w:val="24"/>
          <w:lang w:val="pt-BR"/>
        </w:rPr>
        <w:t xml:space="preserve">Cláudia Ap. Monteiro dos Santos                                      </w:t>
      </w:r>
    </w:p>
    <w:p w14:paraId="67C2DCCA" w14:textId="1A59C32D" w:rsidR="00C31F2F" w:rsidRPr="003E0557" w:rsidRDefault="00C31F2F" w:rsidP="00C31F2F">
      <w:pPr>
        <w:pStyle w:val="SemEspaamento"/>
        <w:rPr>
          <w:rFonts w:ascii="Arial" w:hAnsi="Arial" w:cs="Arial"/>
          <w:sz w:val="24"/>
          <w:szCs w:val="24"/>
          <w:lang w:val="pt-BR"/>
        </w:rPr>
      </w:pPr>
      <w:r w:rsidRPr="003E0557">
        <w:rPr>
          <w:rFonts w:ascii="Arial" w:hAnsi="Arial" w:cs="Arial"/>
          <w:sz w:val="24"/>
          <w:szCs w:val="24"/>
          <w:lang w:val="pt-BR"/>
        </w:rPr>
        <w:t xml:space="preserve">                      Secretária</w:t>
      </w:r>
      <w:r>
        <w:rPr>
          <w:rFonts w:ascii="Arial" w:hAnsi="Arial" w:cs="Arial"/>
          <w:sz w:val="24"/>
          <w:szCs w:val="24"/>
          <w:lang w:val="pt-BR"/>
        </w:rPr>
        <w:tab/>
      </w:r>
      <w:r>
        <w:rPr>
          <w:rFonts w:ascii="Arial" w:hAnsi="Arial" w:cs="Arial"/>
          <w:sz w:val="24"/>
          <w:szCs w:val="24"/>
          <w:lang w:val="pt-BR"/>
        </w:rPr>
        <w:tab/>
      </w:r>
      <w:r>
        <w:rPr>
          <w:rFonts w:ascii="Arial" w:hAnsi="Arial" w:cs="Arial"/>
          <w:sz w:val="24"/>
          <w:szCs w:val="24"/>
          <w:lang w:val="pt-BR"/>
        </w:rPr>
        <w:tab/>
      </w:r>
      <w:r>
        <w:rPr>
          <w:rFonts w:ascii="Arial" w:hAnsi="Arial" w:cs="Arial"/>
          <w:sz w:val="24"/>
          <w:szCs w:val="24"/>
          <w:lang w:val="pt-BR"/>
        </w:rPr>
        <w:tab/>
      </w:r>
      <w:r>
        <w:rPr>
          <w:rFonts w:ascii="Arial" w:hAnsi="Arial" w:cs="Arial"/>
          <w:sz w:val="24"/>
          <w:szCs w:val="24"/>
          <w:lang w:val="pt-BR"/>
        </w:rPr>
        <w:tab/>
        <w:t xml:space="preserve">          </w:t>
      </w:r>
      <w:r w:rsidRPr="00D33890">
        <w:rPr>
          <w:rFonts w:ascii="Arial" w:hAnsi="Arial" w:cs="Arial"/>
          <w:sz w:val="24"/>
          <w:szCs w:val="24"/>
          <w:lang w:val="pt-BR"/>
        </w:rPr>
        <w:t>Membro</w:t>
      </w:r>
    </w:p>
    <w:p w14:paraId="03EC8635" w14:textId="77777777" w:rsidR="00C31F2F" w:rsidRDefault="00C31F2F" w:rsidP="00C31F2F">
      <w:pPr>
        <w:pStyle w:val="SemEspaamento"/>
        <w:rPr>
          <w:rFonts w:ascii="Arial" w:hAnsi="Arial" w:cs="Arial"/>
          <w:sz w:val="24"/>
          <w:szCs w:val="24"/>
          <w:lang w:val="pt-BR"/>
        </w:rPr>
      </w:pPr>
    </w:p>
    <w:p w14:paraId="2DAC983D" w14:textId="77777777" w:rsidR="00C31F2F" w:rsidRDefault="00C31F2F" w:rsidP="00C31F2F">
      <w:pPr>
        <w:pStyle w:val="SemEspaamento"/>
        <w:rPr>
          <w:rFonts w:ascii="Arial" w:hAnsi="Arial" w:cs="Arial"/>
          <w:sz w:val="24"/>
          <w:szCs w:val="24"/>
          <w:lang w:val="pt-BR"/>
        </w:rPr>
      </w:pPr>
    </w:p>
    <w:p w14:paraId="2F5CF476" w14:textId="77777777" w:rsidR="00C31F2F" w:rsidRDefault="00C31F2F" w:rsidP="00C31F2F">
      <w:pPr>
        <w:pStyle w:val="SemEspaamento"/>
        <w:jc w:val="center"/>
        <w:rPr>
          <w:rFonts w:ascii="Arial" w:hAnsi="Arial" w:cs="Arial"/>
          <w:sz w:val="24"/>
          <w:szCs w:val="24"/>
          <w:lang w:val="pt-BR"/>
        </w:rPr>
      </w:pPr>
      <w:r w:rsidRPr="00D33890">
        <w:rPr>
          <w:rFonts w:ascii="Arial" w:hAnsi="Arial" w:cs="Arial"/>
          <w:sz w:val="24"/>
          <w:szCs w:val="24"/>
          <w:lang w:val="pt-BR"/>
        </w:rPr>
        <w:t>Daniel Fernando da Silva</w:t>
      </w:r>
      <w:r>
        <w:rPr>
          <w:rFonts w:ascii="Arial" w:hAnsi="Arial" w:cs="Arial"/>
          <w:sz w:val="24"/>
          <w:szCs w:val="24"/>
          <w:lang w:val="pt-BR"/>
        </w:rPr>
        <w:tab/>
      </w:r>
      <w:r>
        <w:rPr>
          <w:rFonts w:ascii="Arial" w:hAnsi="Arial" w:cs="Arial"/>
          <w:sz w:val="24"/>
          <w:szCs w:val="24"/>
          <w:lang w:val="pt-BR"/>
        </w:rPr>
        <w:tab/>
      </w:r>
      <w:r>
        <w:rPr>
          <w:rFonts w:ascii="Arial" w:hAnsi="Arial" w:cs="Arial"/>
          <w:sz w:val="24"/>
          <w:szCs w:val="24"/>
          <w:lang w:val="pt-BR"/>
        </w:rPr>
        <w:tab/>
      </w:r>
      <w:r>
        <w:rPr>
          <w:rFonts w:ascii="Arial" w:hAnsi="Arial" w:cs="Arial"/>
          <w:sz w:val="24"/>
          <w:szCs w:val="24"/>
          <w:lang w:val="pt-BR"/>
        </w:rPr>
        <w:tab/>
      </w:r>
      <w:r w:rsidRPr="00D33890">
        <w:rPr>
          <w:rFonts w:ascii="Arial" w:hAnsi="Arial" w:cs="Arial"/>
          <w:sz w:val="24"/>
          <w:szCs w:val="24"/>
          <w:lang w:val="pt-BR"/>
        </w:rPr>
        <w:t>Humberto Salvador Ferreira Lopes</w:t>
      </w:r>
    </w:p>
    <w:p w14:paraId="1AB0407D" w14:textId="48DEA7EC" w:rsidR="00330475" w:rsidRPr="0057268E" w:rsidRDefault="00C31F2F" w:rsidP="00C31F2F">
      <w:pPr>
        <w:pStyle w:val="SemEspaamento"/>
        <w:rPr>
          <w:sz w:val="24"/>
          <w:szCs w:val="24"/>
        </w:rPr>
      </w:pPr>
      <w:r>
        <w:rPr>
          <w:rFonts w:ascii="Arial" w:hAnsi="Arial" w:cs="Arial"/>
          <w:sz w:val="24"/>
          <w:szCs w:val="24"/>
          <w:lang w:val="pt-BR"/>
        </w:rPr>
        <w:t xml:space="preserve">               </w:t>
      </w:r>
      <w:r w:rsidRPr="00D33890">
        <w:rPr>
          <w:rFonts w:ascii="Arial" w:hAnsi="Arial" w:cs="Arial"/>
          <w:sz w:val="24"/>
          <w:szCs w:val="24"/>
          <w:lang w:val="pt-BR"/>
        </w:rPr>
        <w:t xml:space="preserve">Membro                    </w:t>
      </w:r>
      <w:r>
        <w:rPr>
          <w:rFonts w:ascii="Arial" w:hAnsi="Arial" w:cs="Arial"/>
          <w:sz w:val="24"/>
          <w:szCs w:val="24"/>
          <w:lang w:val="pt-BR"/>
        </w:rPr>
        <w:t xml:space="preserve">                                                 </w:t>
      </w:r>
      <w:proofErr w:type="spellStart"/>
      <w:r w:rsidRPr="00D33890">
        <w:rPr>
          <w:rFonts w:ascii="Arial" w:hAnsi="Arial" w:cs="Arial"/>
          <w:sz w:val="24"/>
          <w:szCs w:val="24"/>
          <w:lang w:val="pt-BR"/>
        </w:rPr>
        <w:t>Membro</w:t>
      </w:r>
      <w:bookmarkEnd w:id="0"/>
      <w:proofErr w:type="spellEnd"/>
    </w:p>
    <w:sectPr w:rsidR="00330475" w:rsidRPr="0057268E" w:rsidSect="00815898">
      <w:headerReference w:type="even" r:id="rId8"/>
      <w:headerReference w:type="default" r:id="rId9"/>
      <w:footerReference w:type="default" r:id="rId10"/>
      <w:headerReference w:type="first" r:id="rId11"/>
      <w:pgSz w:w="12176" w:h="16838"/>
      <w:pgMar w:top="1417" w:right="1701" w:bottom="1417" w:left="1701"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1547EF" w14:textId="77777777" w:rsidR="009B7211" w:rsidRPr="00660AAF" w:rsidRDefault="009B7211" w:rsidP="00AE38A1">
      <w:pPr>
        <w:spacing w:after="0" w:line="240" w:lineRule="auto"/>
      </w:pPr>
      <w:r w:rsidRPr="00660AAF">
        <w:separator/>
      </w:r>
    </w:p>
  </w:endnote>
  <w:endnote w:type="continuationSeparator" w:id="0">
    <w:p w14:paraId="7D7A0689" w14:textId="77777777" w:rsidR="009B7211" w:rsidRPr="00660AAF" w:rsidRDefault="009B7211" w:rsidP="00AE38A1">
      <w:pPr>
        <w:spacing w:after="0" w:line="240" w:lineRule="auto"/>
      </w:pPr>
      <w:r w:rsidRPr="00660AAF">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875BDA" w14:textId="77777777" w:rsidR="00AC2144" w:rsidRPr="00660AAF" w:rsidRDefault="006B11D8" w:rsidP="006B11D8">
    <w:pPr>
      <w:jc w:val="center"/>
    </w:pPr>
    <w:r w:rsidRPr="00660AAF">
      <w:rPr>
        <w:rFonts w:cstheme="minorHAnsi"/>
        <w:b/>
        <w:color w:val="17365D" w:themeColor="text2" w:themeShade="BF"/>
        <w:sz w:val="20"/>
        <w:szCs w:val="20"/>
      </w:rPr>
      <w:br/>
    </w:r>
    <w:r w:rsidRPr="00660AAF">
      <w:rPr>
        <w:rFonts w:cstheme="minorHAnsi"/>
        <w:b/>
        <w:color w:val="17365D" w:themeColor="text2" w:themeShade="BF"/>
        <w:sz w:val="20"/>
        <w:szCs w:val="20"/>
      </w:rPr>
      <w:b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47D859" w14:textId="77777777" w:rsidR="009B7211" w:rsidRPr="00660AAF" w:rsidRDefault="009B7211" w:rsidP="00AE38A1">
      <w:pPr>
        <w:spacing w:after="0" w:line="240" w:lineRule="auto"/>
      </w:pPr>
      <w:r w:rsidRPr="00660AAF">
        <w:separator/>
      </w:r>
    </w:p>
  </w:footnote>
  <w:footnote w:type="continuationSeparator" w:id="0">
    <w:p w14:paraId="21C7CD01" w14:textId="77777777" w:rsidR="009B7211" w:rsidRPr="00660AAF" w:rsidRDefault="009B7211" w:rsidP="00AE38A1">
      <w:pPr>
        <w:spacing w:after="0" w:line="240" w:lineRule="auto"/>
      </w:pPr>
      <w:r w:rsidRPr="00660AAF">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DB237C" w14:textId="77777777" w:rsidR="00AE38A1" w:rsidRPr="00660AAF" w:rsidRDefault="00C31F2F">
    <w:pPr>
      <w:pStyle w:val="Cabealho"/>
    </w:pPr>
    <w:r>
      <w:pict w14:anchorId="09AABEC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6645297" o:spid="_x0000_s1026" type="#_x0000_t75" style="position:absolute;margin-left:0;margin-top:0;width:510.25pt;height:225.45pt;z-index:-251657216;mso-position-horizontal:center;mso-position-horizontal-relative:margin;mso-position-vertical:center;mso-position-vertical-relative:margin" o:allowincell="f">
          <v:imagedata r:id="rId1" o:title="TIMBRE_page-0001"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A622C2" w14:textId="77777777" w:rsidR="00AE38A1" w:rsidRPr="00660AAF" w:rsidRDefault="00AC2144" w:rsidP="00AC2144">
    <w:pPr>
      <w:ind w:left="3119" w:hanging="425"/>
      <w:jc w:val="center"/>
      <w:rPr>
        <w:sz w:val="26"/>
        <w:szCs w:val="26"/>
      </w:rPr>
    </w:pPr>
    <w:bookmarkStart w:id="1" w:name="_Hlk126065799"/>
    <w:r w:rsidRPr="00660AAF">
      <w:rPr>
        <w:noProof/>
        <w:sz w:val="28"/>
        <w:szCs w:val="28"/>
        <w:lang w:eastAsia="pt-BR"/>
      </w:rPr>
      <w:drawing>
        <wp:anchor distT="0" distB="0" distL="114300" distR="114300" simplePos="0" relativeHeight="251658752" behindDoc="1" locked="0" layoutInCell="1" allowOverlap="1" wp14:anchorId="7666C4BE" wp14:editId="5F969A0B">
          <wp:simplePos x="0" y="0"/>
          <wp:positionH relativeFrom="column">
            <wp:posOffset>139700</wp:posOffset>
          </wp:positionH>
          <wp:positionV relativeFrom="paragraph">
            <wp:posOffset>5080</wp:posOffset>
          </wp:positionV>
          <wp:extent cx="1952625" cy="714375"/>
          <wp:effectExtent l="0" t="0" r="9525" b="9525"/>
          <wp:wrapNone/>
          <wp:docPr id="1460209495" name="Imagem 1460209495" descr="Descrição: Sem títu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Descrição: Sem título.jpg"/>
                  <pic:cNvPicPr>
                    <a:picLocks noChangeAspect="1" noChangeArrowheads="1"/>
                  </pic:cNvPicPr>
                </pic:nvPicPr>
                <pic:blipFill>
                  <a:blip r:embed="rId1" cstate="print">
                    <a:extLst>
                      <a:ext uri="{28A0092B-C50C-407E-A947-70E740481C1C}">
                        <a14:useLocalDpi xmlns:a14="http://schemas.microsoft.com/office/drawing/2010/main" val="0"/>
                      </a:ext>
                    </a:extLst>
                  </a:blip>
                  <a:srcRect r="62480"/>
                  <a:stretch>
                    <a:fillRect/>
                  </a:stretch>
                </pic:blipFill>
                <pic:spPr bwMode="auto">
                  <a:xfrm>
                    <a:off x="0" y="0"/>
                    <a:ext cx="1952625" cy="714375"/>
                  </a:xfrm>
                  <a:prstGeom prst="rect">
                    <a:avLst/>
                  </a:prstGeom>
                  <a:noFill/>
                </pic:spPr>
              </pic:pic>
            </a:graphicData>
          </a:graphic>
          <wp14:sizeRelH relativeFrom="page">
            <wp14:pctWidth>0</wp14:pctWidth>
          </wp14:sizeRelH>
          <wp14:sizeRelV relativeFrom="page">
            <wp14:pctHeight>0</wp14:pctHeight>
          </wp14:sizeRelV>
        </wp:anchor>
      </w:drawing>
    </w:r>
    <w:r w:rsidRPr="00660AAF">
      <w:rPr>
        <w:b/>
        <w:sz w:val="28"/>
        <w:szCs w:val="28"/>
      </w:rPr>
      <w:t xml:space="preserve">     </w:t>
    </w:r>
    <w:r w:rsidRPr="00660AAF">
      <w:rPr>
        <w:b/>
        <w:i/>
        <w:iCs/>
        <w:sz w:val="26"/>
        <w:szCs w:val="26"/>
        <w:u w:val="single"/>
      </w:rPr>
      <w:t xml:space="preserve">INSTITUTO DE PREVIDÊNCIA DOS SERVIDORES PÚBLICOS   </w:t>
    </w:r>
    <w:r w:rsidRPr="00660AAF">
      <w:rPr>
        <w:b/>
        <w:i/>
        <w:iCs/>
        <w:sz w:val="26"/>
        <w:szCs w:val="26"/>
        <w:u w:val="single"/>
      </w:rPr>
      <w:br/>
      <w:t>DO MUNICÍPIO DE GUANHÃES</w:t>
    </w:r>
    <w:r w:rsidRPr="00660AAF">
      <w:rPr>
        <w:b/>
        <w:i/>
        <w:iCs/>
        <w:sz w:val="26"/>
        <w:szCs w:val="26"/>
      </w:rPr>
      <w:t>-</w:t>
    </w:r>
    <w:r w:rsidRPr="00660AAF">
      <w:rPr>
        <w:b/>
        <w:i/>
        <w:iCs/>
        <w:sz w:val="26"/>
        <w:szCs w:val="26"/>
        <w:u w:val="single"/>
      </w:rPr>
      <w:t>GUANHÃESPREV</w:t>
    </w:r>
    <w:r w:rsidRPr="00660AAF">
      <w:rPr>
        <w:b/>
        <w:i/>
        <w:iCs/>
        <w:sz w:val="26"/>
        <w:szCs w:val="26"/>
        <w:u w:val="single"/>
      </w:rPr>
      <w:br/>
      <w:t>CNPJ: 05.518.895/0001-74</w:t>
    </w:r>
    <w:bookmarkEnd w:id="1"/>
    <w:r w:rsidR="00C31F2F">
      <w:rPr>
        <w:sz w:val="26"/>
        <w:szCs w:val="26"/>
      </w:rPr>
      <w:pict w14:anchorId="2FA07CE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6645298" o:spid="_x0000_s1027" type="#_x0000_t75" style="position:absolute;left:0;text-align:left;margin-left:0;margin-top:0;width:510.25pt;height:225.45pt;z-index:-251656192;mso-position-horizontal:center;mso-position-horizontal-relative:margin;mso-position-vertical:center;mso-position-vertical-relative:margin" o:allowincell="f">
          <v:imagedata r:id="rId2" o:title="TIMBRE_page-0001"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626E8A" w14:textId="77777777" w:rsidR="00AE38A1" w:rsidRPr="00660AAF" w:rsidRDefault="00C31F2F">
    <w:pPr>
      <w:pStyle w:val="Cabealho"/>
    </w:pPr>
    <w:r>
      <w:pict w14:anchorId="3AE55D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6645296" o:spid="_x0000_s1025" type="#_x0000_t75" style="position:absolute;margin-left:0;margin-top:0;width:510.25pt;height:225.45pt;z-index:-251658240;mso-position-horizontal:center;mso-position-horizontal-relative:margin;mso-position-vertical:center;mso-position-vertical-relative:margin" o:allowincell="f">
          <v:imagedata r:id="rId1" o:title="TIMBRE_page-0001"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6CB2869"/>
    <w:multiLevelType w:val="hybridMultilevel"/>
    <w:tmpl w:val="03A8BC7A"/>
    <w:lvl w:ilvl="0" w:tplc="1E727F5A">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20937709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B3B"/>
    <w:rsid w:val="00030786"/>
    <w:rsid w:val="000B5CE0"/>
    <w:rsid w:val="000D0CC5"/>
    <w:rsid w:val="000D53E0"/>
    <w:rsid w:val="000E3358"/>
    <w:rsid w:val="00172DFF"/>
    <w:rsid w:val="001B5069"/>
    <w:rsid w:val="001E02C2"/>
    <w:rsid w:val="002B1AEE"/>
    <w:rsid w:val="00330475"/>
    <w:rsid w:val="003E0557"/>
    <w:rsid w:val="003F6D65"/>
    <w:rsid w:val="004000D1"/>
    <w:rsid w:val="00425D76"/>
    <w:rsid w:val="00441214"/>
    <w:rsid w:val="004B4FFC"/>
    <w:rsid w:val="004C0962"/>
    <w:rsid w:val="004E4260"/>
    <w:rsid w:val="004E79D2"/>
    <w:rsid w:val="00545113"/>
    <w:rsid w:val="0057268E"/>
    <w:rsid w:val="00572B3B"/>
    <w:rsid w:val="005870CA"/>
    <w:rsid w:val="005B1CFB"/>
    <w:rsid w:val="005E5F49"/>
    <w:rsid w:val="005F3F22"/>
    <w:rsid w:val="00660AAF"/>
    <w:rsid w:val="0067285F"/>
    <w:rsid w:val="006B11D8"/>
    <w:rsid w:val="00753965"/>
    <w:rsid w:val="0076343C"/>
    <w:rsid w:val="007E24A2"/>
    <w:rsid w:val="007E76D8"/>
    <w:rsid w:val="00815898"/>
    <w:rsid w:val="008766CE"/>
    <w:rsid w:val="008B0983"/>
    <w:rsid w:val="008D0B50"/>
    <w:rsid w:val="008F28B9"/>
    <w:rsid w:val="00904BB9"/>
    <w:rsid w:val="00954710"/>
    <w:rsid w:val="00982FF5"/>
    <w:rsid w:val="009832CF"/>
    <w:rsid w:val="009A7CF4"/>
    <w:rsid w:val="009B7211"/>
    <w:rsid w:val="009D2F22"/>
    <w:rsid w:val="00A02893"/>
    <w:rsid w:val="00A77661"/>
    <w:rsid w:val="00AA6AC1"/>
    <w:rsid w:val="00AC2144"/>
    <w:rsid w:val="00AD7B05"/>
    <w:rsid w:val="00AE3618"/>
    <w:rsid w:val="00AE38A1"/>
    <w:rsid w:val="00B132A1"/>
    <w:rsid w:val="00B35FE0"/>
    <w:rsid w:val="00B47864"/>
    <w:rsid w:val="00B645FC"/>
    <w:rsid w:val="00BB062E"/>
    <w:rsid w:val="00BB2005"/>
    <w:rsid w:val="00BF77EC"/>
    <w:rsid w:val="00C31F2F"/>
    <w:rsid w:val="00C44F39"/>
    <w:rsid w:val="00C72B68"/>
    <w:rsid w:val="00CE5B13"/>
    <w:rsid w:val="00D25F84"/>
    <w:rsid w:val="00D33890"/>
    <w:rsid w:val="00D834D3"/>
    <w:rsid w:val="00E024BB"/>
    <w:rsid w:val="00E12E13"/>
    <w:rsid w:val="00E3768E"/>
    <w:rsid w:val="00EA4BB2"/>
    <w:rsid w:val="00EB508A"/>
    <w:rsid w:val="00EC567C"/>
    <w:rsid w:val="00ED1652"/>
    <w:rsid w:val="00F22050"/>
    <w:rsid w:val="00FA508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BF02CA"/>
  <w15:docId w15:val="{D3EEFC45-AD79-44B1-9B69-ABB95EBFF3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53E0"/>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7E76D8"/>
    <w:rPr>
      <w:color w:val="0000FF" w:themeColor="hyperlink"/>
      <w:u w:val="single"/>
    </w:rPr>
  </w:style>
  <w:style w:type="table" w:styleId="Tabelacomgrade">
    <w:name w:val="Table Grid"/>
    <w:basedOn w:val="Tabelanormal"/>
    <w:uiPriority w:val="39"/>
    <w:rsid w:val="009832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AE38A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E38A1"/>
  </w:style>
  <w:style w:type="paragraph" w:styleId="Rodap">
    <w:name w:val="footer"/>
    <w:basedOn w:val="Normal"/>
    <w:link w:val="RodapChar"/>
    <w:uiPriority w:val="99"/>
    <w:unhideWhenUsed/>
    <w:rsid w:val="00AE38A1"/>
    <w:pPr>
      <w:tabs>
        <w:tab w:val="center" w:pos="4252"/>
        <w:tab w:val="right" w:pos="8504"/>
      </w:tabs>
      <w:spacing w:after="0" w:line="240" w:lineRule="auto"/>
    </w:pPr>
  </w:style>
  <w:style w:type="character" w:customStyle="1" w:styleId="RodapChar">
    <w:name w:val="Rodapé Char"/>
    <w:basedOn w:val="Fontepargpadro"/>
    <w:link w:val="Rodap"/>
    <w:uiPriority w:val="99"/>
    <w:rsid w:val="00AE38A1"/>
  </w:style>
  <w:style w:type="character" w:styleId="MenoPendente">
    <w:name w:val="Unresolved Mention"/>
    <w:basedOn w:val="Fontepargpadro"/>
    <w:uiPriority w:val="99"/>
    <w:semiHidden/>
    <w:unhideWhenUsed/>
    <w:rsid w:val="006B11D8"/>
    <w:rPr>
      <w:color w:val="605E5C"/>
      <w:shd w:val="clear" w:color="auto" w:fill="E1DFDD"/>
    </w:rPr>
  </w:style>
  <w:style w:type="paragraph" w:styleId="PargrafodaLista">
    <w:name w:val="List Paragraph"/>
    <w:basedOn w:val="Normal"/>
    <w:uiPriority w:val="34"/>
    <w:qFormat/>
    <w:rsid w:val="000D0CC5"/>
    <w:pPr>
      <w:spacing w:after="160" w:line="259" w:lineRule="auto"/>
      <w:ind w:left="720"/>
      <w:contextualSpacing/>
    </w:pPr>
    <w:rPr>
      <w:kern w:val="2"/>
      <w14:ligatures w14:val="standardContextual"/>
    </w:rPr>
  </w:style>
  <w:style w:type="paragraph" w:styleId="SemEspaamento">
    <w:name w:val="No Spacing"/>
    <w:uiPriority w:val="1"/>
    <w:qFormat/>
    <w:rsid w:val="00545113"/>
    <w:pPr>
      <w:spacing w:after="0" w:line="240" w:lineRule="auto"/>
    </w:pPr>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2030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7C2435-826A-465E-8D50-C39ACE9D76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480</TotalTime>
  <Pages>2</Pages>
  <Words>992</Words>
  <Characters>5360</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Rosimeiry Procópio</cp:lastModifiedBy>
  <cp:revision>9</cp:revision>
  <cp:lastPrinted>2025-11-05T16:37:00Z</cp:lastPrinted>
  <dcterms:created xsi:type="dcterms:W3CDTF">2025-09-26T13:52:00Z</dcterms:created>
  <dcterms:modified xsi:type="dcterms:W3CDTF">2025-12-22T20:28:00Z</dcterms:modified>
</cp:coreProperties>
</file>